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13. КОРПОРАТИВНАЯ СИСТЕМА УПРАВЛЕНИЯ РИСКАМИ (ERM): ИТЕГРАЦИЯ, АППЕТИТ К РИСКУ И ЛИМИТЫ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Введение: От локальных методов к единой системе ERM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предыдущих лекциях мы рассмотрели отдельные элементы риск-менеджмента: классификацию угроз (Лекция 2), стандарты (Лекция 3), методы идентификации и оценки (Лекции 4–6), управление финансовыми и операционными рисками (Лекции 7–10), а также стратегии реагирования и инструменты хеджирования (Лекции 11–12).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Однако на практике крупнейшие корпоративные кризисы конца XX и начала XXI века (такие как крах энергетического гиганта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Enron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или финансовый коллапс 2008 года) показали, что наличие разрозненных отделов безопасности, страхования и финансового контроля не спасает компанию от банкротства, если между ними отсутствует координация.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Это привело к появлению концепции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Enterprise Risk Management (ERM)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Корпоративной (или комплексной) системы управления рисками.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ERM (Enterprise Risk Management)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процесс, осуществляемый Советом директоров, руководством и всеми сотрудниками организации, применяемый при разработке стратегии и охватывающий всю деятельность компании, нацеленный на определение событий, которые могут повлиять на организацию, и управление ими в рамках установленного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аппетита к риску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Переход от «Силосного» подхода к Интегрированной архитектуре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Исторически сложилось так, что компании управляли рисками изолированно друг от друга. Такой подход называется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силосным (Silo-based approach)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ТРАДИЦИОННЫЙ «СИЛОСНЫЙ» ПОДХОД              ИНТЕГРИРОВАННАЯ ERM-СИСТЕМА</w:t>
        <w:br w:type="textWrapping"/>
        <w:t xml:space="preserve">       </w:t>
        <w:br w:type="textWrapping"/>
        <w:t xml:space="preserve">       [ Финансовый департамент ]                   +--------------------------+</w:t>
        <w:br w:type="textWrapping"/>
        <w:t xml:space="preserve">       (Управляет только валютами)                  |     СОВЕТ ДИРЕКТОРОВ     |</w:t>
        <w:br w:type="textWrapping"/>
        <w:t xml:space="preserve">                                                    +------------+-------------+</w:t>
        <w:br w:type="textWrapping"/>
        <w:t xml:space="preserve">       [ Юридический отдел      ]                                |</w:t>
        <w:br w:type="textWrapping"/>
        <w:t xml:space="preserve">       (Следит только за судами)                                 v</w:t>
        <w:br w:type="textWrapping"/>
        <w:t xml:space="preserve">                                                    +--------------------------+</w:t>
        <w:br w:type="textWrapping"/>
        <w:t xml:space="preserve">       [ Департамент IT         ]                   |   ЦЕНТРАЛИЗОВАННЫЙ DEП.  |</w:t>
        <w:br w:type="textWrapping"/>
        <w:t xml:space="preserve">       (Отвечает только за серверья)                |     РИСК-МЕНЕДЖМЕНТОВ    |</w:t>
        <w:br w:type="textWrapping"/>
        <w:t xml:space="preserve">                                                    +------------+-------------+</w:t>
        <w:br w:type="textWrapping"/>
        <w:t xml:space="preserve">         (Каждый отдел работает изолированно)                    |</w:t>
        <w:br w:type="textWrapping"/>
        <w:t xml:space="preserve">                                            +--------------------+--------------------+</w:t>
        <w:br w:type="textWrapping"/>
        <w:t xml:space="preserve">                                            |                    |                    |</w:t>
        <w:br w:type="textWrapping"/>
        <w:t xml:space="preserve">                                            v                    v                    v</w:t>
        <w:br w:type="textWrapping"/>
        <w:t xml:space="preserve">                                       [ Финансы ]          [ Операции ]        [ Стратегия ]</w:t>
        <w:br w:type="textWrapping"/>
      </w:r>
    </w:p>
    <w:p w:rsidR="00000000" w:rsidDel="00000000" w:rsidP="00000000" w:rsidRDefault="00000000" w:rsidRPr="00000000" w14:paraId="0000000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Главные недостатки сислосного подхода: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Слепые зоны: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Между зонами ответственности разных отделов возникают неохваченные риски.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Противоречивые действия: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Один департамент может страховать актив, который другой департамент планирует продать.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Отсутствие консолидированной картины: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Совет директоров не видит совокупного риска всей корпорации в целом.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Система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ERM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полностью устраняет эти недостатки, объединяя все рисковые потоки в единую сквозную управленческую вертикаль.</w:t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Ключевые компоненты и архитектура ERM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Опираясь на стандарты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COSO ERM (2017)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 31000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полноценная корпоративная система управления рисками строится на четырех фундаментальных столпах: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Интеграция со стратегией и бизнес-планированием: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Риски оцениваются не постфактум, а на этапе утверждения инвестиционных проектов и годовых бюджетов.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Единая таксономия рисков (Risk Taxonomy):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Во всей группе компаний используется единый словарь терминов и единый реестр рисков.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Организация сквозной отчетности: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Регулярная подготовка сводных дашбордов для топ-менеджмента и Комитета по аудиту Совета директоров.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Закрепление ответственности (Risk Governance):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Четкое распределение ролей в рамках обновленной модели «Трех линий защиты» (Владельцы процессов </w:t>
      </w:r>
      <m:oMath>
        <m:r>
          <m:t>→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Риск-менеджмент </w:t>
      </w:r>
      <m:oMath>
        <m:r>
          <m:t>→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Внутренний аудит).</w:t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Аппетит к риску (Risk Appetite) и Рисковые лимиты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Одним из ключевых инструментов ERM является формализация отношения высшего руководства к неопределенности.</w:t>
      </w:r>
    </w:p>
    <w:p w:rsidR="00000000" w:rsidDel="00000000" w:rsidP="00000000" w:rsidRDefault="00000000" w:rsidRPr="00000000" w14:paraId="000000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4.1. Определение аппетита к риску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Аппетит к риску (Risk Appetite)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общий объем и типы рисков, которые организация принципиально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готова принять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 процессе реализации своей стратегии ради создания стоимости для акционеров.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Аппетит к риску — это качественное или полуколичественное заявление Совета директоров. Примеры формулировок: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«Компания имеет нулевой аппетит к рискам нарушения антикоррупционного законодательства и требований охраны труда».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«Компания готова принимать умеренный финансовый риск при реализации инновационных проектов, при условии, что доля заемного капитала не превышает 50%».</w:t>
      </w:r>
    </w:p>
    <w:p w:rsidR="00000000" w:rsidDel="00000000" w:rsidP="00000000" w:rsidRDefault="00000000" w:rsidRPr="00000000" w14:paraId="0000001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4.2. Толерантность к риску (Risk Tolerance)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Если аппетит к риску задает общие стратегические ориентиры, то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толерантность к риску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определяет допустимые отклонения от поставленных целей в конкретных операционных границах (например: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«Мы готовы мириться с колебанием рентабельности проекта в пределах $\pm 3\%$»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2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4.3. Каскадирование рисков через систему лимитов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основе утвержденного Советом директоров аппетита к риску служба риск-менеджмента разрабатывает систему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рисковых лимитов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Финансовые лимиты: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Ограничение максимального объема кредитования одного контрагента, лимиты открытой валютной позиции для казначейства.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Операционные лимиты: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Ограничение максимальной суммы разовой сделки, утверждаемой директором филиала без согласования с правлением.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Инвестиционные лимиты: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Максимально допустимая доля убытков по венчурным проектам портфеля.</w:t>
      </w:r>
    </w:p>
    <w:p w:rsidR="00000000" w:rsidDel="00000000" w:rsidP="00000000" w:rsidRDefault="00000000" w:rsidRPr="00000000" w14:paraId="0000002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Портфельный подход к рискам (Portfolio View)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Одно из главных преимуществ ERM перед локальными методами — возможность оценки рисков на уровне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всего портфеля активов компании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а не каждого риска по отдельности.</w:t>
      </w:r>
    </w:p>
    <w:p w:rsidR="00000000" w:rsidDel="00000000" w:rsidP="00000000" w:rsidRDefault="00000000" w:rsidRPr="00000000" w14:paraId="0000002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5.1. Эффект диверсификации портфеля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Риски внутри компании редко коррелируют идеально со знаком «плюс».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Пример: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Рост курса доллара наносит ущерб импортному подразделению компании, но одновременно увеличивает рублевую выручку экспортного подразделения.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Оценивая риски портфельно, ERM учитывает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коэффициенты корреляции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между ними. Совокупный риск диверсифицированного портфеля всегда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ниже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чем простая сумма индивидуальных рисков отделений.</w:t>
      </w:r>
    </w:p>
    <w:p w:rsidR="00000000" w:rsidDel="00000000" w:rsidP="00000000" w:rsidRDefault="00000000" w:rsidRPr="00000000" w14:paraId="0000002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Зрелость системы ERM (Risk Maturity Model)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Внедрение корпоративной системы управления рисками — это не одномоментное событие, а эволюционный процесс. В мировой практике выделяют 5 уровней зрелости ERM-систем: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Уровень 5: Оптимизированный  (Риск-менеджмент интегрирован в стратегию и прогнозирование на базе AI)</w:t>
        <w:br w:type="textWrapping"/>
        <w:t xml:space="preserve">Уровень 4: Управляемый        (Внедрена количественная оценка, VaR, сквозная отчетность)</w:t>
        <w:br w:type="textWrapping"/>
        <w:t xml:space="preserve">Уровень 3: Интегрированный     (Разработан единый стандарт ERM, задействованы все бизнес-единицы)</w:t>
        <w:br w:type="textWrapping"/>
        <w:t xml:space="preserve">Уровень 2: Повторяемый         (Применяются отдельные элементы: реестры рисков, матрицы)</w:t>
        <w:br w:type="textWrapping"/>
        <w:t xml:space="preserve">Уровень 1: Начальный/Хаотичный (Управление рисками носит интуитивный и реактивный характер)</w:t>
        <w:br w:type="textWrapping"/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Большинство развивающихся компаний проходят путь от 1-го до 3-го уровня в течение 3–5 лет после принятия решения о стандартизации процессов.</w:t>
      </w:r>
    </w:p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Заключение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Корпоративная система управления рисками (ERM)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объединяет все разрозненные инструменты и методы в единый непрерывный контур управления стоимостью компании. Утвержденный Советом директоров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аппетит к риску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транслируемый через систему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рисковых лимитов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на все уровни бизнес-процессов, позволяет организации осознанно идти на допустимый уровень неопределенности ради достижения стратегических целей.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следующей лекции мы рассмотрим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Культуру рисков и коммуникации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а также методы противодействия мошенничеству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Fraud Risk Management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завершающие наш базовый курс.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